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3C" w:rsidRPr="008D090C" w:rsidRDefault="004B4C3C" w:rsidP="004B4C3C">
      <w:pPr>
        <w:pStyle w:val="Heading2"/>
        <w:shd w:val="clear" w:color="auto" w:fill="FFFFFF"/>
        <w:spacing w:before="0" w:beforeAutospacing="0" w:after="120" w:afterAutospacing="0"/>
        <w:jc w:val="center"/>
        <w:rPr>
          <w:sz w:val="28"/>
          <w:szCs w:val="28"/>
          <w:lang w:val="en-US"/>
        </w:rPr>
      </w:pPr>
      <w:r w:rsidRPr="008D090C">
        <w:rPr>
          <w:sz w:val="28"/>
          <w:szCs w:val="28"/>
        </w:rPr>
        <w:t>MỘT SỐ NỘI DUNG CƠ BẢN CỦA</w:t>
      </w:r>
      <w:r w:rsidRPr="008D090C">
        <w:rPr>
          <w:sz w:val="28"/>
          <w:szCs w:val="28"/>
          <w:lang w:val="en-US"/>
        </w:rPr>
        <w:t xml:space="preserve"> BỘ LUẬT HÌNH SỰ</w:t>
      </w:r>
    </w:p>
    <w:p w:rsidR="004B4C3C" w:rsidRPr="005B34A1" w:rsidRDefault="004B4C3C" w:rsidP="004B4C3C">
      <w:pPr>
        <w:pStyle w:val="Heading2"/>
        <w:shd w:val="clear" w:color="auto" w:fill="FFFFFF"/>
        <w:spacing w:before="0" w:beforeAutospacing="0" w:after="120" w:afterAutospacing="0"/>
        <w:jc w:val="center"/>
        <w:rPr>
          <w:b w:val="0"/>
          <w:sz w:val="28"/>
          <w:szCs w:val="28"/>
          <w:lang w:val="en-US"/>
        </w:rPr>
      </w:pPr>
      <w:r w:rsidRPr="005B34A1">
        <w:rPr>
          <w:b w:val="0"/>
          <w:sz w:val="28"/>
          <w:szCs w:val="28"/>
          <w:lang w:val="en-US"/>
        </w:rPr>
        <w:t>(năm 2015, sửa đổi, bổ sung năm 2017)</w:t>
      </w:r>
    </w:p>
    <w:p w:rsidR="004B4C3C" w:rsidRDefault="004B4C3C" w:rsidP="004B4C3C">
      <w:pPr>
        <w:pStyle w:val="Heading2"/>
        <w:shd w:val="clear" w:color="auto" w:fill="FFFFFF"/>
        <w:spacing w:before="0" w:beforeAutospacing="0" w:after="120" w:afterAutospacing="0" w:line="276" w:lineRule="auto"/>
        <w:ind w:firstLine="720"/>
        <w:rPr>
          <w:sz w:val="28"/>
          <w:szCs w:val="28"/>
          <w:lang w:val="en-US"/>
        </w:rPr>
      </w:pPr>
    </w:p>
    <w:p w:rsidR="004B4C3C" w:rsidRPr="008D090C" w:rsidRDefault="004B4C3C" w:rsidP="004B4C3C">
      <w:pPr>
        <w:pStyle w:val="Heading2"/>
        <w:shd w:val="clear" w:color="auto" w:fill="FFFFFF"/>
        <w:spacing w:before="0" w:beforeAutospacing="0" w:after="120" w:afterAutospacing="0" w:line="276" w:lineRule="auto"/>
        <w:ind w:firstLine="720"/>
        <w:rPr>
          <w:sz w:val="28"/>
          <w:szCs w:val="28"/>
        </w:rPr>
      </w:pPr>
      <w:r>
        <w:rPr>
          <w:sz w:val="28"/>
          <w:szCs w:val="28"/>
          <w:lang w:val="en-US"/>
        </w:rPr>
        <w:t>I</w:t>
      </w:r>
      <w:r w:rsidRPr="008D090C">
        <w:rPr>
          <w:sz w:val="28"/>
          <w:szCs w:val="28"/>
        </w:rPr>
        <w:t>. Quy định về tha tù trước thời hạn</w:t>
      </w:r>
    </w:p>
    <w:p w:rsidR="004B4C3C" w:rsidRPr="008D090C" w:rsidRDefault="004B4C3C" w:rsidP="004B4C3C">
      <w:pPr>
        <w:pStyle w:val="NormalWeb"/>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rPr>
        <w:tab/>
        <w:t xml:space="preserve">Tha tù trước thời hạn là chính sách khoan hồng của Đảng, Nhà nước và thể hiện truyền thống nhân đạo của dân tộc Việt Nam đối với những người phạm tội, khuyến khích họ hối cải, rèn luyện trở thành người có ích cho xã hội. Bộ luật Hình sự năm 2015 quy định người đang chấp hành án phạt tù về tội phạm nghiêm trọng, tội phạm rất nghiêm trọng hoặc tội phạm đặc biệt nghiêm trọng mà đã được giảm thời hạn chấp hành án phạt tù hoặc người đang chấp hành án phạt tù về tội phạm ít nghiêm trọng có thể được tha tù trước thời hạn khi </w:t>
      </w:r>
      <w:r w:rsidRPr="004B4C3C">
        <w:rPr>
          <w:sz w:val="28"/>
          <w:szCs w:val="28"/>
        </w:rPr>
        <w:t>có đủ các</w:t>
      </w:r>
      <w:r w:rsidRPr="008D090C">
        <w:rPr>
          <w:b/>
          <w:sz w:val="28"/>
          <w:szCs w:val="28"/>
        </w:rPr>
        <w:t xml:space="preserve"> </w:t>
      </w:r>
      <w:r w:rsidRPr="008D090C">
        <w:rPr>
          <w:sz w:val="28"/>
          <w:szCs w:val="28"/>
        </w:rPr>
        <w:t>điều kiện sau đây:</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Phạm tội lần đầu;</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Có nhiều tiến bộ, có ý thức cải tạo tốt;</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Có nơi cư trú rõ ràng;</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Đã chấp hành xong hình phạt bổ sung là hình phạt tiền, nghĩa vụ bồi thường thiệt hại và án phí;</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Đã chấp hành được ít nhất là một phần hai mức phạt tù có thời hạn hoặc ít nhất là 15 năm đối với trường hợp bị phạt tù chung thân nhưng đã được giảm xuống tù có thời hạn.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Trường hợp người phạm tội là người có công với cách mạng, thân nhân của người có công với cách mạng, người đủ 70 tuổi trở lên, người khuyết tật nặng hoặc khuyết tật đặc biệt nặng, phụ nữ đang nuôi con dưới 36 tháng tuổi thì phải chấp hành được ít nhất là một phần ba mức phạt tù có thời hạn hoặc ít nhất là 12 năm đối với trường hợp bị phạt tù chung thân nhưng đã được giảm xuống tù có thời hạn.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Không tha tù trước thời hạn trong các trường hợp sau: phạm tội về an ninh quốc gia; các tội phá hoại hòa bình, chống loài người và tội phạm chiến tranh; tội phạm khủng bố; người bị kết án 10 năm tù trở lên về một trong các tội xâm phạm tính mạng, sức khỏe, nhân phẩm, danh dự của con người do lỗi cố ý; người bị kết án 07 năm tù trở lên đối với một trong các Tội cướp tài sản. Tội bắt cóc nhằm chiếm đoạt tài sản. Tội sản xuất trái phép chất ma túy. Tội mua bán trái phép chất ma túy và Tội chiếm đoạt chất ma túy; Người bị kết án tử hình được ân giảm hoặc thuộc trường hợp không áp dụng hình phạt tử hình.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xml:space="preserve">Theo đề nghị của cơ quan thi hành án hình sự có thẩm quyền, Tòa án quyết định tha tù trước thời hạn có điều kiện đối với người bị kết án. Người được tha tù </w:t>
      </w:r>
      <w:r w:rsidRPr="008D090C">
        <w:rPr>
          <w:sz w:val="28"/>
          <w:szCs w:val="28"/>
        </w:rPr>
        <w:lastRenderedPageBreak/>
        <w:t>trước thời hạn có điều kiện phải thực hiện các nghĩa vụ trong thời gian thử thách. Thời gian thử thách bằng thời gian còn lại của hình phạt tù.</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Người được tha tù trước thời hạn có điều kiện cố ý vi phạm nghĩa vụ 02 lần trở lên hoặc bị xử phạt vi phạm hành chính 02 lần trở lên trong thời gian thử thách, thì Tòa án có thể hủy bỏ quyết định tha tù trước thời hạn có điều kiện đối với người đó và buộc họ phải chấp hành phần hình phạt tù còn lại chưa chấp hành.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Nếu người đó thực hiện hành vi phạm tội mới trong thời gian thử thách thì Tòa án buộc người đó chấp hành hình phạt của bản án mới và tổng hợp với phần hình phạt tù chưa chấp hành của bản án trước.</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Người được tha tù trước thời hạn có điều kiện đã chấp hành được ít nhất là một phần hai thời gian thử thách và có nhiều tiến bộ thì theo đề nghị của cơ quan thi hành án hình sự có thẩm quyền, Tòa án có thể quyết định rút ngắn thời gian thử thách.</w:t>
      </w:r>
    </w:p>
    <w:p w:rsidR="004B4C3C" w:rsidRPr="008D090C" w:rsidRDefault="004B4C3C" w:rsidP="004B4C3C">
      <w:pPr>
        <w:pStyle w:val="Heading2"/>
        <w:shd w:val="clear" w:color="auto" w:fill="FFFFFF"/>
        <w:spacing w:before="0" w:beforeAutospacing="0" w:after="120" w:afterAutospacing="0" w:line="276" w:lineRule="auto"/>
        <w:ind w:firstLine="720"/>
        <w:rPr>
          <w:sz w:val="28"/>
          <w:szCs w:val="28"/>
        </w:rPr>
      </w:pPr>
      <w:r>
        <w:rPr>
          <w:sz w:val="28"/>
          <w:szCs w:val="28"/>
          <w:lang w:val="en-US"/>
        </w:rPr>
        <w:t>II</w:t>
      </w:r>
      <w:r w:rsidRPr="008D090C">
        <w:rPr>
          <w:sz w:val="28"/>
          <w:szCs w:val="28"/>
        </w:rPr>
        <w:t>. Quy định về án tích và xóa án tích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Để tạo điều kiện cho người phạm tội hoàn lương, hòa nhập cộng đồng. Bộ luật Hình sự quy định  về án tích và xóa án tích như sau:</w:t>
      </w:r>
    </w:p>
    <w:p w:rsidR="004B4C3C" w:rsidRPr="008D090C" w:rsidRDefault="004B4C3C" w:rsidP="004B4C3C">
      <w:pPr>
        <w:pStyle w:val="rtejustify"/>
        <w:shd w:val="clear" w:color="auto" w:fill="FFFFFF"/>
        <w:spacing w:before="0" w:beforeAutospacing="0" w:after="120" w:afterAutospacing="0" w:line="276" w:lineRule="auto"/>
        <w:jc w:val="both"/>
        <w:rPr>
          <w:b/>
          <w:sz w:val="28"/>
          <w:szCs w:val="28"/>
        </w:rPr>
      </w:pPr>
      <w:r w:rsidRPr="008D090C">
        <w:rPr>
          <w:rStyle w:val="Strong"/>
          <w:sz w:val="28"/>
          <w:szCs w:val="28"/>
        </w:rPr>
        <w:t xml:space="preserve">    </w:t>
      </w:r>
      <w:r w:rsidRPr="008D090C">
        <w:rPr>
          <w:rStyle w:val="Strong"/>
          <w:sz w:val="28"/>
          <w:szCs w:val="28"/>
        </w:rPr>
        <w:tab/>
        <w:t>1</w:t>
      </w:r>
      <w:r w:rsidRPr="008D090C">
        <w:rPr>
          <w:b/>
          <w:sz w:val="28"/>
          <w:szCs w:val="28"/>
        </w:rPr>
        <w:t>. Trường hợp đương nhiên được xóa án tích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Đương nhiên được xóa án tích được áp dụng đối với người bị kết án không phải về các tội xâm phạm an ninh quốc gia và các tội phá hoại hòa bình, chống lọi người, tội phạm chiến tranh, khi họ đã chấp hành xong hình phạt chính, thời gian thử thách án treo hoặc hết thời hiệu thi hành bản án và đáp ứng các điều kiện: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 Nếu từ khi chấp hành xong hình phạt chính hoặc hết thời gian thử thách án treo, người đó đã chấp hành xong hình phạt bổ sung, các quyết định khác của bản án và không thực hiện hành vi phạm tội mới trong thời hạn sau đây:</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+ 01 năm trong trường hợp bị phạt cảnh cáo, phạt tiền, cải tạo không giam giữ, phạt tù nhưng được hưởng án treo;</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+ 02 năm trong trong trường hợp bị phạt tù đến 05 năm;</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+ 03 năm trong trường hợp bị phạt tù từ trên 05 năm đến 15 năm;</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+ 05 năm trong trường hợp bị phạt tù từ trên 15 năm, tù chung thân hoặc tử hình nhưng đã được giảm 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xml:space="preserve">Trường hợp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quy định </w:t>
      </w:r>
      <w:r w:rsidRPr="008D090C">
        <w:rPr>
          <w:sz w:val="28"/>
          <w:szCs w:val="28"/>
        </w:rPr>
        <w:lastRenderedPageBreak/>
        <w:t>trên, thì thời hạn đương nhiên được xóa án tích sẽ hết vào thời điểm người đó chấp hành xong hình phạt bổ sung.</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bị kết án đương nhiên được xóa án tích, nếu từ khi hết thời hiệu thi hành bản án, người đó không thực hiện hành vi phạm tội mới trong thời hạn quy định nêu trên.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bị kết án do lỗi vô ý về tội phạm ít nghiêm trọng, tội phạm nghiêm trọng và người được miễn hình phạt không bị coi là có án tích.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dưới 18 tuổi bị kết án được coi là không có án tích, nếu thuộc một trong các trường hợp sau:</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Người từ đủ 14 tuổi đến dưới 16 tuổi;</w:t>
      </w:r>
    </w:p>
    <w:p w:rsidR="004B4C3C" w:rsidRPr="008D090C" w:rsidRDefault="004B4C3C" w:rsidP="004B4C3C">
      <w:pPr>
        <w:pStyle w:val="rtejustify"/>
        <w:shd w:val="clear" w:color="auto" w:fill="FFFFFF"/>
        <w:spacing w:before="0" w:beforeAutospacing="0" w:after="120" w:afterAutospacing="0" w:line="276" w:lineRule="auto"/>
        <w:jc w:val="both"/>
        <w:rPr>
          <w:rStyle w:val="Strong"/>
          <w:b w:val="0"/>
          <w:bCs w:val="0"/>
          <w:sz w:val="28"/>
          <w:szCs w:val="28"/>
        </w:rPr>
      </w:pPr>
      <w:r w:rsidRPr="008D090C">
        <w:rPr>
          <w:sz w:val="28"/>
          <w:szCs w:val="28"/>
        </w:rPr>
        <w:t xml:space="preserve">   </w:t>
      </w:r>
      <w:r w:rsidRPr="008D090C">
        <w:rPr>
          <w:sz w:val="28"/>
          <w:szCs w:val="28"/>
          <w:lang w:val="en-US"/>
        </w:rPr>
        <w:tab/>
      </w:r>
      <w:r w:rsidRPr="008D090C">
        <w:rPr>
          <w:sz w:val="28"/>
          <w:szCs w:val="28"/>
        </w:rPr>
        <w:t>+ Người từ đủ 16 tuổi đến dưới 18 tuổi bị kết án về tội phạm ít nghiêm trọng, tội phạm nghiêm trọng hoặc tội phạm rất nghiêm trọng do vô ý.</w:t>
      </w:r>
      <w:r w:rsidRPr="008D090C">
        <w:rPr>
          <w:rStyle w:val="Strong"/>
          <w:sz w:val="28"/>
          <w:szCs w:val="28"/>
          <w:lang w:val="en-US"/>
        </w:rPr>
        <w:tab/>
      </w:r>
    </w:p>
    <w:p w:rsidR="004B4C3C" w:rsidRPr="008D090C" w:rsidRDefault="004B4C3C" w:rsidP="004B4C3C">
      <w:pPr>
        <w:pStyle w:val="rtejustify"/>
        <w:shd w:val="clear" w:color="auto" w:fill="FFFFFF"/>
        <w:spacing w:before="0" w:beforeAutospacing="0" w:after="120" w:afterAutospacing="0" w:line="276" w:lineRule="auto"/>
        <w:ind w:firstLine="720"/>
        <w:jc w:val="both"/>
        <w:rPr>
          <w:b/>
          <w:sz w:val="28"/>
          <w:szCs w:val="28"/>
        </w:rPr>
      </w:pPr>
      <w:r w:rsidRPr="008D090C">
        <w:rPr>
          <w:rStyle w:val="Strong"/>
          <w:sz w:val="28"/>
          <w:szCs w:val="28"/>
        </w:rPr>
        <w:t>2</w:t>
      </w:r>
      <w:r w:rsidRPr="008D090C">
        <w:rPr>
          <w:rStyle w:val="Strong"/>
          <w:b w:val="0"/>
          <w:sz w:val="28"/>
          <w:szCs w:val="28"/>
        </w:rPr>
        <w:t>.</w:t>
      </w:r>
      <w:r w:rsidRPr="008D090C">
        <w:rPr>
          <w:rStyle w:val="apple-converted-space"/>
          <w:b/>
          <w:bCs/>
          <w:sz w:val="28"/>
          <w:szCs w:val="28"/>
        </w:rPr>
        <w:t> </w:t>
      </w:r>
      <w:r w:rsidRPr="008D090C">
        <w:rPr>
          <w:b/>
          <w:sz w:val="28"/>
          <w:szCs w:val="28"/>
        </w:rPr>
        <w:t>Xóa án tích theo quyết định của Tòa 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Xóa án tích theo quyết định của Tòa án được áp dụng đối với người bị kết án về một trong các tội xâm phạm an ninh quốc gia và các tội phá hoại hòa bình, chống loài người, tội phạm chiến tranh. Tòa án quyết định việc xóa án tích đối với người bị kết án căn cứ vào tính chất của tội phạm đã thực hiện, thái độ chấp hành pháp luật, thái độ lao động của người bị kết án và các điều kiện về thời hạn đương nhiên xóa án tích.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bị kết án được Tòa án quyết định việc xóa án tích, nếu từ khi chấp hành xong hình phạt chính hoặc hết thời gian thử thách án treo, người đó đã chấp hành xong hình phạt bổ sung, các quyết định khác của bản án và không thực hiện hành vi phạm tội mới trong thời hạn sau đây:</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+ 01 năm trong trường hợp bị phạt cảnh cáo, phạt cải tạo không giam giữ, phạt tù nhưng được hưởng án treo;</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+ 03 năm trong trường hợp bị phạt tù đến 05 năm;</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+ 05 năm trong trường hợp bị phạt tù từ trên 05 năm đến 15 năm;</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+ 07 năm trong trường hợp bị phạt tù trên 15 năm, tù chung thân hoặc tử hình nhưng đã được giảm 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xml:space="preserve">Trường hợp người bị kết án đang chấp hành hình phạt bổ sung là quản chế, cấm cư trú, tước một số quyền công dân mà thời hạn phải chấp hành dài hơn thời hạn quy định trên thì Tòa án quyết định việc xóa án tích từ khi người đó chấp hành xong hình phạt bổ sung. Người bị Tòa án bác đơn xin xóa án tích lần đầu, thì sau 01 năm kể từ ngày bị Tòa án bác đơn mới được xin xóa án tích; nếu bị bác đơn lần </w:t>
      </w:r>
      <w:r w:rsidRPr="008D090C">
        <w:rPr>
          <w:sz w:val="28"/>
          <w:szCs w:val="28"/>
        </w:rPr>
        <w:lastRenderedPageBreak/>
        <w:t>thứ hai trở đi, thì sau 02 năm kể từ ngày bị Tòa án bác đơn mới được xin xóa án tích.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Người được xóa án tích coi như chưa bị kết án.</w:t>
      </w:r>
    </w:p>
    <w:p w:rsidR="004B4C3C" w:rsidRPr="008D090C" w:rsidRDefault="004B4C3C" w:rsidP="004B4C3C">
      <w:pPr>
        <w:pStyle w:val="Heading2"/>
        <w:shd w:val="clear" w:color="auto" w:fill="FFFFFF"/>
        <w:spacing w:before="0" w:beforeAutospacing="0" w:after="120" w:afterAutospacing="0" w:line="276" w:lineRule="auto"/>
        <w:ind w:firstLine="720"/>
        <w:rPr>
          <w:sz w:val="28"/>
          <w:szCs w:val="28"/>
        </w:rPr>
      </w:pPr>
      <w:r>
        <w:rPr>
          <w:sz w:val="28"/>
          <w:szCs w:val="28"/>
          <w:lang w:val="en-US"/>
        </w:rPr>
        <w:t>II</w:t>
      </w:r>
      <w:r w:rsidRPr="008D090C">
        <w:rPr>
          <w:sz w:val="28"/>
          <w:szCs w:val="28"/>
        </w:rPr>
        <w:t>I. Quy định về xử lý hình sự đối với người dưới 18 tuổi phạm tội</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Theo quy định của Bộ luật Hình sự năm 2015, người từ đủ 14 tuổi đến dưới 18 tuổi khi thực hiện hành vi phạm tội phải chịu trách nhiệm hình sự. Tuy nhiên, trong mọi trường hợp điều tra, truy tố, xét xử hành vi phạm tội của người dưới 18 tuổi, các cơ quan nhà nước có thẩm quyền phải xác định khả năng nhận thức của họ về tính chất nguy hiểm cho xã hội của hành vi phạm tội, nguyên nhân, điều kiện gây ra tội phạm và phải đảm bảo các nguyên tắc sau:</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b/>
          <w:sz w:val="28"/>
          <w:szCs w:val="28"/>
        </w:rPr>
        <w:t>1.</w:t>
      </w:r>
      <w:r w:rsidRPr="008D090C">
        <w:rPr>
          <w:sz w:val="28"/>
          <w:szCs w:val="28"/>
        </w:rPr>
        <w:t xml:space="preserve"> Việc xử lý người dưới 18 tuổi phạm tội phải bảo đảm lợi ích tốt nhất của người dưới 18 tuổi và chủ yếu nhằm mục đích giáo dục, giúp đỡ họ sửa chữa sai lầm, phát triển lành mạnh, trở thành công dân có ích cho xã hội. Việc xử lý người dưới 18 tuổi phạm tội phải căn cứ vào độ tuổi, khả năng nhận thức của họ về tính chất nguy hiểm cho xã hội của hành vi phạm tội, nguyên nhân và điều kiện gây ra tội phạm.</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b/>
          <w:sz w:val="28"/>
          <w:szCs w:val="28"/>
        </w:rPr>
        <w:t>       </w:t>
      </w:r>
      <w:r w:rsidRPr="008D090C">
        <w:rPr>
          <w:b/>
          <w:sz w:val="28"/>
          <w:szCs w:val="28"/>
          <w:lang w:val="en-US"/>
        </w:rPr>
        <w:tab/>
      </w:r>
      <w:r w:rsidRPr="008D090C">
        <w:rPr>
          <w:b/>
          <w:sz w:val="28"/>
          <w:szCs w:val="28"/>
        </w:rPr>
        <w:t>2.</w:t>
      </w:r>
      <w:r w:rsidRPr="008D090C">
        <w:rPr>
          <w:sz w:val="28"/>
          <w:szCs w:val="28"/>
        </w:rPr>
        <w:t xml:space="preserve"> Người dưới 18 tuổi phạm tội thuộc một trong các trường hợp sau đây và có nhiều tình tiết giảm nhẹ, tự nguyện khắc phục phần lớn hậu quả, nếu không thuộc trường hợp được tha miễn trách nhiệm hình sự, thì có thể được miễn trách nhiệm hình sự và áp dụng một trong các biện pháp biện pháp khiển trách, hòa giải tại cộng đồng hoặc biện pháp giáo dục tại xã, phường, thị trấn: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Người từ đủ 16 tuổi đến dưới 18 tuổi phạm tội ít nghiêm trọng, phạm tội nghiêm trọng, </w:t>
      </w:r>
      <w:r w:rsidRPr="008D090C">
        <w:rPr>
          <w:b/>
          <w:sz w:val="28"/>
          <w:szCs w:val="28"/>
        </w:rPr>
        <w:t>trừ các tội</w:t>
      </w:r>
      <w:r w:rsidRPr="008D090C">
        <w:rPr>
          <w:sz w:val="28"/>
          <w:szCs w:val="28"/>
        </w:rPr>
        <w:t>: cố ý gây thương tích hoặc gây tổn hại cho sức khỏe của người khác; hiếp dâm; cướp tài sản và các tội phạm về ma túy quy định tại các điều 248, 249, 250, 251 và 252 của Bộ luật Hình sự;</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Người từ đủ 14 tuổi đến dưới 16 tuổi phạm tội rất nghiêm trọng quy định tại khoản 2 Điều 12 của Bộ luật này, </w:t>
      </w:r>
      <w:r w:rsidRPr="008D090C">
        <w:rPr>
          <w:b/>
          <w:sz w:val="28"/>
          <w:szCs w:val="28"/>
        </w:rPr>
        <w:t>trừ các tội</w:t>
      </w:r>
      <w:r w:rsidRPr="008D090C">
        <w:rPr>
          <w:sz w:val="28"/>
          <w:szCs w:val="28"/>
        </w:rPr>
        <w:t>: giết người; cố ý gây thương tích hoặc gây tổn hại cho sức khỏe của người khác; hiếp dâm; hiếp dâm người dưới 16 tuổi; cưỡng dân người từ đủ 13 tuổi đến dưới 16 tuổi; mua bán người; mua bán người dưới 16 tuổi  các tội phạm về ma túy quy định tại các điều 248, 249, 250, 251 và 252 của Bộ luật Hình sự;</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 Người dưới 18 tuổi là người đồng phạm có vai trò không đáng kể trong vụ 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b/>
          <w:sz w:val="28"/>
          <w:szCs w:val="28"/>
        </w:rPr>
        <w:t>       </w:t>
      </w:r>
      <w:r w:rsidRPr="008D090C">
        <w:rPr>
          <w:b/>
          <w:sz w:val="28"/>
          <w:szCs w:val="28"/>
          <w:lang w:val="en-US"/>
        </w:rPr>
        <w:tab/>
      </w:r>
      <w:r w:rsidRPr="008D090C">
        <w:rPr>
          <w:b/>
          <w:sz w:val="28"/>
          <w:szCs w:val="28"/>
        </w:rPr>
        <w:t>3</w:t>
      </w:r>
      <w:r w:rsidRPr="008D090C">
        <w:rPr>
          <w:sz w:val="28"/>
          <w:szCs w:val="28"/>
        </w:rPr>
        <w:t xml:space="preserve">. Việc truy cứu trách nhiệm hình sự người dưới 18 tuổi phạm tội chỉ trong trường hợp cần thiết và phải căn cứ vào những đặc điểm về nhân thân của họ, tính </w:t>
      </w:r>
      <w:r w:rsidRPr="008D090C">
        <w:rPr>
          <w:sz w:val="28"/>
          <w:szCs w:val="28"/>
        </w:rPr>
        <w:lastRenderedPageBreak/>
        <w:t>chất nguy hiểm cho xã hội của hành vi phạm tội và yêu cầu của việc phòng ngừa tội phạm.</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w:t>
      </w:r>
      <w:r w:rsidRPr="008D090C">
        <w:rPr>
          <w:b/>
          <w:sz w:val="28"/>
          <w:szCs w:val="28"/>
        </w:rPr>
        <w:t>4</w:t>
      </w:r>
      <w:r w:rsidRPr="008D090C">
        <w:rPr>
          <w:sz w:val="28"/>
          <w:szCs w:val="28"/>
        </w:rPr>
        <w:t>. Khi xét xử, Tòa án chỉ áp dụng hình phạt đối với người dưới 18 tuổi phạm tội nếu xét thấy việc miễn trách nhiệm hình sự và áp dụng một trong các biện pháp: Khiển trách; Hòa giải tại cộng đồng hoặc Giáo dục tại xã, phường, thị trấn hoặc việc áp dụng biện pháp giáo dục tại trường giáo dưỡng không bảo đảm hiệu quả giáo dục, phòng ngừa.</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b/>
          <w:sz w:val="28"/>
          <w:szCs w:val="28"/>
        </w:rPr>
        <w:t>      </w:t>
      </w:r>
      <w:r w:rsidRPr="008D090C">
        <w:rPr>
          <w:b/>
          <w:sz w:val="28"/>
          <w:szCs w:val="28"/>
          <w:lang w:val="en-US"/>
        </w:rPr>
        <w:tab/>
      </w:r>
      <w:r w:rsidRPr="008D090C">
        <w:rPr>
          <w:b/>
          <w:sz w:val="28"/>
          <w:szCs w:val="28"/>
        </w:rPr>
        <w:t> 5</w:t>
      </w:r>
      <w:r w:rsidRPr="008D090C">
        <w:rPr>
          <w:sz w:val="28"/>
          <w:szCs w:val="28"/>
        </w:rPr>
        <w:t>. Không xử phạt tù chung thân hoặc tử hình đối với người dưới 18 tuổi phạm tội.</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b/>
          <w:sz w:val="28"/>
          <w:szCs w:val="28"/>
        </w:rPr>
        <w:t>6</w:t>
      </w:r>
      <w:r w:rsidRPr="008D090C">
        <w:rPr>
          <w:sz w:val="28"/>
          <w:szCs w:val="28"/>
        </w:rPr>
        <w:t>. Tòa án chỉ áp dụng hình phạt tù có thời hạn đối với người dưới 18 tuổi phạm tội khi xét thấy các hình phạt và biện pháp giáo dục khác không có tác dụng răn đe, phòng ngừa. Khi xử phạt tù có thời hạn, Tòa án cho người dưới 18 tuổi phạm tội được hưởng mức án nhẹ hơn mức án áp dụng đối với người đủ 18 tuổi trở lên phạm tội tương ứng và với thời hạn thích hợp ngắn nhất.</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Không áp dụng hình phạt bổ sung đối với người dưới 18 tuổi phạm tội.</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b/>
          <w:sz w:val="28"/>
          <w:szCs w:val="28"/>
        </w:rPr>
        <w:t>       </w:t>
      </w:r>
      <w:r w:rsidRPr="008D090C">
        <w:rPr>
          <w:b/>
          <w:sz w:val="28"/>
          <w:szCs w:val="28"/>
        </w:rPr>
        <w:tab/>
        <w:t>7</w:t>
      </w:r>
      <w:r w:rsidRPr="008D090C">
        <w:rPr>
          <w:sz w:val="28"/>
          <w:szCs w:val="28"/>
        </w:rPr>
        <w:t>. Án đã tuyên đối với người chưa đủ 16 tuổi phạm tội, thì không tính để xác định tái phạm hoặc tái phạm nguy hiểm.</w:t>
      </w:r>
    </w:p>
    <w:p w:rsidR="004B4C3C" w:rsidRPr="008D090C" w:rsidRDefault="004B4C3C" w:rsidP="004B4C3C">
      <w:pPr>
        <w:pStyle w:val="Heading2"/>
        <w:shd w:val="clear" w:color="auto" w:fill="FFFFFF"/>
        <w:spacing w:before="0" w:beforeAutospacing="0" w:after="120" w:afterAutospacing="0" w:line="276" w:lineRule="auto"/>
        <w:ind w:firstLine="720"/>
        <w:rPr>
          <w:sz w:val="28"/>
          <w:szCs w:val="28"/>
        </w:rPr>
      </w:pPr>
      <w:r>
        <w:rPr>
          <w:sz w:val="28"/>
          <w:szCs w:val="28"/>
          <w:lang w:val="en-US"/>
        </w:rPr>
        <w:t>IV</w:t>
      </w:r>
      <w:r w:rsidRPr="008D090C">
        <w:rPr>
          <w:sz w:val="28"/>
          <w:szCs w:val="28"/>
        </w:rPr>
        <w:t>. Quy định về giáo dục tại trường giáo dưỡng và các hình phạt đối với người dưới 18 tuổi phạm tội</w:t>
      </w:r>
    </w:p>
    <w:p w:rsidR="004B4C3C" w:rsidRPr="008D090C" w:rsidRDefault="004B4C3C" w:rsidP="004B4C3C">
      <w:pPr>
        <w:pStyle w:val="rtejustify"/>
        <w:shd w:val="clear" w:color="auto" w:fill="FFFFFF"/>
        <w:spacing w:before="0" w:beforeAutospacing="0" w:after="120" w:afterAutospacing="0" w:line="276" w:lineRule="auto"/>
        <w:ind w:firstLine="720"/>
        <w:jc w:val="both"/>
        <w:rPr>
          <w:sz w:val="28"/>
          <w:szCs w:val="28"/>
        </w:rPr>
      </w:pPr>
      <w:r w:rsidRPr="008D090C">
        <w:rPr>
          <w:rStyle w:val="Strong"/>
          <w:sz w:val="28"/>
          <w:szCs w:val="28"/>
        </w:rPr>
        <w:t>1.</w:t>
      </w:r>
      <w:r w:rsidRPr="008D090C">
        <w:rPr>
          <w:rStyle w:val="apple-converted-space"/>
          <w:b/>
          <w:bCs/>
          <w:sz w:val="28"/>
          <w:szCs w:val="28"/>
        </w:rPr>
        <w:t> </w:t>
      </w:r>
      <w:r w:rsidRPr="008D090C">
        <w:rPr>
          <w:sz w:val="28"/>
          <w:szCs w:val="28"/>
        </w:rPr>
        <w:t>Biện pháp giáo dục tại trường giáo dưỡng là biện pháp tư pháp, mà Tòa án có thể áp dụng từ 01 năm đến 02 năm đối với người dưới 18 tuổi phạm tội, nếu thấy do tính chất nghiêm trọng của hành vi phạm tội, do nhân thân và môi trường sống của người đó mà cần đưa người đó vào một tổ chức giáo dục có kỷ luật chặt chẽ. Người được giáo dục tại trường giáo dưỡng phải chấp hành đầy đủ những nghĩa vụ về học tập, học nghề, lao động, sinh hoạt dưới sự quản lý, giáo dục của nhà trường.</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Nếu người được giáo dục tại trường giáo dưỡng đã chấp hành một phần hai thời hạn, có nhiều tiến bộ, thì theo đề nghị của trường giáo dưỡng được giao trách nhiệm quản lý, giáo dục, Tòa án có thể quyết định chấm dứt thời hạn giáo dục tại trường giáo dưỡng.</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2.</w:t>
      </w:r>
      <w:r w:rsidRPr="008D090C">
        <w:rPr>
          <w:rStyle w:val="apple-converted-space"/>
          <w:b/>
          <w:bCs/>
          <w:sz w:val="28"/>
          <w:szCs w:val="28"/>
        </w:rPr>
        <w:t> </w:t>
      </w:r>
      <w:r w:rsidRPr="008D090C">
        <w:rPr>
          <w:sz w:val="28"/>
          <w:szCs w:val="28"/>
        </w:rPr>
        <w:t>Các hình phạt được áp dụng đối với người dưới 18 tuổi phạm tội</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Người dưới 18 tuổi phạm tội chỉ bị áp dụng một trong các hình phạt sau đối với mỗi tội phạm: Cảnh cáo; Phạt tiền; Cải tạo không giam giữ hoặc Tù có thời hạn.</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 Cảnh cáo, được áp dụng đối với người phạm tội ít nghiêm trọng và có nhiều tình tiết giảm nhẹ, nhưng chưa đến mức miễn hình phạt.</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 Phạt tiền, được áp dụng là hình phạt chính đối với người từ đủ 16 tuổi đến dưới 18 tuổi, nếu người đó có thu nhập hoặc có tài sản riêng. Mức tiền phạt đối với người từ đủ 16 tuổi đến dưới 18 tuổi phạm tội không quá một phần hai mức tiền phạt mà điều luật quy định.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w:t>
      </w:r>
      <w:r w:rsidRPr="008D090C">
        <w:rPr>
          <w:rStyle w:val="apple-converted-space"/>
          <w:b/>
          <w:bCs/>
          <w:sz w:val="28"/>
          <w:szCs w:val="28"/>
        </w:rPr>
        <w:t> </w:t>
      </w:r>
      <w:r w:rsidRPr="008D090C">
        <w:rPr>
          <w:rStyle w:val="Strong"/>
          <w:sz w:val="28"/>
          <w:szCs w:val="28"/>
        </w:rPr>
        <w:t>Cải tạo không giam giữ,</w:t>
      </w:r>
      <w:r w:rsidRPr="008D090C">
        <w:rPr>
          <w:rStyle w:val="apple-converted-space"/>
          <w:sz w:val="28"/>
          <w:szCs w:val="28"/>
        </w:rPr>
        <w:t> </w:t>
      </w:r>
      <w:r w:rsidRPr="008D090C">
        <w:rPr>
          <w:sz w:val="28"/>
          <w:szCs w:val="28"/>
        </w:rPr>
        <w:t>được áp dụng đối với người từ đủ 16 tuổi đến dưới 18 tuổi phạm tội rất nghiêm trọng do vô ý hoặc phạm tội ít nghiêm trọng, phạm tội nghiêm trọng hoặc người từ đủ 14 tuổi đến dưới 16 tuổi phạm tội rất nghiêm trọng. Khi áp dụng hình phạt cải tạo không giam giữ đối với người dưới 18 tuổi phạm tội, thì không khấu trừ thu nhập của người đó.</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Thời hạn cải tạo không giam giữ đối với người dưới 18 tuổi phạm tội không quá một phần hai thời hạn mà điều luật quy định.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w:t>
      </w:r>
      <w:r w:rsidRPr="008D090C">
        <w:rPr>
          <w:rStyle w:val="apple-converted-space"/>
          <w:b/>
          <w:bCs/>
          <w:sz w:val="28"/>
          <w:szCs w:val="28"/>
        </w:rPr>
        <w:t> </w:t>
      </w:r>
      <w:r w:rsidRPr="008D090C">
        <w:rPr>
          <w:sz w:val="28"/>
          <w:szCs w:val="28"/>
        </w:rPr>
        <w:t>Tù có thời hạn áp dụng đối với người dưới 18 tuổi phạm tội được quy định như sau:</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hình phạt cao nhất được áp dụng không quá ba phần tư mức phạt tù mà điều luật quy định;</w:t>
      </w:r>
    </w:p>
    <w:p w:rsidR="004B4C3C" w:rsidRPr="008D090C" w:rsidRDefault="004B4C3C" w:rsidP="004B4C3C">
      <w:pPr>
        <w:pStyle w:val="rtejustify"/>
        <w:shd w:val="clear" w:color="auto" w:fill="FFFFFF"/>
        <w:spacing w:before="0" w:beforeAutospacing="0" w:after="120" w:afterAutospacing="0" w:line="276" w:lineRule="auto"/>
        <w:jc w:val="both"/>
        <w:rPr>
          <w:sz w:val="28"/>
          <w:szCs w:val="28"/>
        </w:rPr>
      </w:pPr>
      <w:r w:rsidRPr="008D090C">
        <w:rPr>
          <w:sz w:val="28"/>
          <w:szCs w:val="28"/>
        </w:rPr>
        <w:t>      + 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thời hạn thì mức hình phạt cao nhất được áp dụng không quá một phần hai mức phạt tù mà điều luật quy định.</w:t>
      </w:r>
    </w:p>
    <w:p w:rsidR="004B4C3C" w:rsidRPr="008D090C" w:rsidRDefault="004B4C3C" w:rsidP="004B4C3C">
      <w:pPr>
        <w:pStyle w:val="rtejustify"/>
        <w:shd w:val="clear" w:color="auto" w:fill="FFFFFF"/>
        <w:spacing w:before="0" w:beforeAutospacing="0" w:after="120" w:afterAutospacing="0" w:line="276" w:lineRule="auto"/>
        <w:jc w:val="both"/>
        <w:rPr>
          <w:b/>
          <w:sz w:val="28"/>
          <w:szCs w:val="28"/>
        </w:rPr>
      </w:pPr>
      <w:r w:rsidRPr="008D090C">
        <w:rPr>
          <w:sz w:val="28"/>
          <w:szCs w:val="28"/>
        </w:rPr>
        <w:tab/>
      </w:r>
      <w:r>
        <w:rPr>
          <w:b/>
          <w:sz w:val="28"/>
          <w:szCs w:val="28"/>
          <w:lang w:val="en-US"/>
        </w:rPr>
        <w:t>V</w:t>
      </w:r>
      <w:r w:rsidRPr="008D090C">
        <w:rPr>
          <w:b/>
          <w:sz w:val="28"/>
          <w:szCs w:val="28"/>
        </w:rPr>
        <w:t xml:space="preserve">. </w:t>
      </w:r>
      <w:r w:rsidRPr="008D090C">
        <w:rPr>
          <w:b/>
          <w:color w:val="333333"/>
          <w:kern w:val="36"/>
          <w:sz w:val="28"/>
          <w:szCs w:val="28"/>
          <w:lang w:val="en-US" w:eastAsia="en-US"/>
        </w:rPr>
        <w:t>Thủ tục tố tụng hình sự đối với người phạm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292E31"/>
          <w:sz w:val="28"/>
          <w:szCs w:val="28"/>
          <w:lang w:val="en-US" w:eastAsia="en-US"/>
        </w:rPr>
        <w:t>   </w:t>
      </w:r>
      <w:r w:rsidRPr="008D090C">
        <w:rPr>
          <w:color w:val="292E31"/>
          <w:sz w:val="28"/>
          <w:szCs w:val="28"/>
          <w:lang w:val="en-US" w:eastAsia="en-US"/>
        </w:rPr>
        <w:tab/>
        <w:t>Chính sách hình sự với người dưới 18 tuổi phạm tội theo quy định tại Bộ luật hình sự năm 2015, sửa đổi bổ sung năm 2017, thể hiện ở phạm vi chịu trách nhiệm hình sự và chính sách xử lý đối với người dưới 18 tuổi. Với quan điểm nhất quán trong việc bảo vệ trẻ em, chính sách hình sự của Nhà nước ta về việc truy cứu trách nhiệm hình sự đối với người chưa thành niên là giúp đỡ, cải tạo, giáo dục để người chưa thành niên nhận ra sai lầm của mình, tạo điều kiện để các em có khả năng tái hòa nhập cộng đồng. Đồng thời, Bộ luật tố tụng hình sự, ngày 27/11/2015, và Thông tư liên tịch đã quy định cụ thể số hoạt động tố tụng được tiến hành đối với người phạm tội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292E31"/>
          <w:sz w:val="28"/>
          <w:szCs w:val="28"/>
          <w:lang w:val="en-US" w:eastAsia="en-US"/>
        </w:rPr>
        <w:t xml:space="preserve">    </w:t>
      </w:r>
      <w:r w:rsidRPr="008D090C">
        <w:rPr>
          <w:i/>
          <w:iCs/>
          <w:color w:val="292E31"/>
          <w:sz w:val="28"/>
          <w:szCs w:val="28"/>
          <w:lang w:val="en-US" w:eastAsia="en-US"/>
        </w:rPr>
        <w:tab/>
        <w:t>Thứ nhất,</w:t>
      </w:r>
      <w:r w:rsidRPr="008D090C">
        <w:rPr>
          <w:color w:val="292E31"/>
          <w:sz w:val="28"/>
          <w:szCs w:val="28"/>
          <w:lang w:val="en-US" w:eastAsia="en-US"/>
        </w:rPr>
        <w:t xml:space="preserve"> Về thủ tục lấy lời khai người bị giữ trong trường hợp khẩn cấp, người bị bắt, người bị tạm giữ, người bị hại, người làm chứng; hỏi cung bị can; đối chất là người dưới 18 tuổi; quy định theo hướng tối thiểu hóa việc lấy lời khai, hỏi </w:t>
      </w:r>
      <w:r w:rsidRPr="008D090C">
        <w:rPr>
          <w:color w:val="292E31"/>
          <w:sz w:val="28"/>
          <w:szCs w:val="28"/>
          <w:lang w:val="en-US" w:eastAsia="en-US"/>
        </w:rPr>
        <w:lastRenderedPageBreak/>
        <w:t>cung và đối chất đối với người dưới 18 tuổi, nhằm bảo đảm các hoạt động tố tụng được thực hiện phù hợp tâm lý, lứa tuổi, mức độ trưởng thành, khả năng nhận thức của người dưới 18 tuổi, bảo đảm các quyền và lợi ích tốt nhất đối với họ, phù hợp với quy định của Công ước quốc tế về quyền trẻ em.</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t>    Thông tư liên tịch 06/2018/TTLT-VKSNDTC- TANDTC-BCA-BTP-BLĐTBXH, ngày 21/12/2018 của </w:t>
      </w:r>
      <w:r w:rsidRPr="008D090C">
        <w:rPr>
          <w:color w:val="292E31"/>
          <w:sz w:val="28"/>
          <w:szCs w:val="28"/>
          <w:lang w:val="en-US" w:eastAsia="en-US"/>
        </w:rPr>
        <w:t>Viện trưởng Viện kiểm sát nhân dân tối cao, Chánh án Tòa án nhân dân tối cao, Bộ trưởng Bộ Công an, Bộ trưởng Bộ Tư pháp, Bộ trưởng Bộ Lao động - Thương binh và Xã hội liên tịch quy định về phối hợp thực hiện một số quy định của Bộ luật Tố tụng hình sự về thủ tục tố tụng đối với người dưới 18 tuổi,</w:t>
      </w:r>
      <w:r w:rsidRPr="008D090C">
        <w:rPr>
          <w:color w:val="292E31"/>
          <w:sz w:val="28"/>
          <w:szCs w:val="28"/>
          <w:lang w:eastAsia="en-US"/>
        </w:rPr>
        <w:t xml:space="preserve"> </w:t>
      </w:r>
      <w:r w:rsidRPr="008D090C">
        <w:rPr>
          <w:color w:val="292E31"/>
          <w:sz w:val="28"/>
          <w:szCs w:val="28"/>
          <w:lang w:val="en-US" w:eastAsia="en-US"/>
        </w:rPr>
        <w:t>quy định hướng dẫn cụ thể trong việc phối hợp giữa các cơ quan tiến hành tố tụng và cơ quan liên quan như sau:</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292E31"/>
          <w:sz w:val="28"/>
          <w:szCs w:val="28"/>
          <w:lang w:val="en-US" w:eastAsia="en-US"/>
        </w:rPr>
        <w:t xml:space="preserve">    </w:t>
      </w:r>
      <w:r w:rsidRPr="008D090C">
        <w:rPr>
          <w:i/>
          <w:iCs/>
          <w:color w:val="292E31"/>
          <w:sz w:val="28"/>
          <w:szCs w:val="28"/>
          <w:lang w:val="en-US" w:eastAsia="en-US"/>
        </w:rPr>
        <w:tab/>
        <w:t>“</w:t>
      </w:r>
      <w:r w:rsidRPr="008D090C">
        <w:rPr>
          <w:i/>
          <w:iCs/>
          <w:color w:val="000000"/>
          <w:sz w:val="28"/>
          <w:szCs w:val="28"/>
          <w:lang w:val="en-US" w:eastAsia="en-US"/>
        </w:rPr>
        <w:t>1. Việc lấy lời khai người bị giữ trong trường hợp khẩn cấp, người bị bắt, người bị tạm giữ, người bị hại, người làm chứng dưới 18 tuổi có thể thực hiện tại nơi học tập, lao động và sinh hoạt của người đó hoặc nơi tiến hành điều tra. Việc hỏi cung bị can dưới 18 tuổi có thể thực hiện tại nơi cư trú của người đó hoặc nơi tiến hành điều tra. Trường hợp lấy lời khai, hỏi cung tại nơi tiến hành điều tra, truy tố, xét xử thì phải sắp xếp, bố trí phòng lấy lời khai, hỏi cung bảo đảm thân thiện, phù hợp với tâm lý người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000000"/>
          <w:sz w:val="28"/>
          <w:szCs w:val="28"/>
          <w:lang w:val="en-US" w:eastAsia="en-US"/>
        </w:rPr>
        <w:t>   </w:t>
      </w:r>
      <w:r w:rsidRPr="008D090C">
        <w:rPr>
          <w:i/>
          <w:iCs/>
          <w:color w:val="000000"/>
          <w:sz w:val="28"/>
          <w:szCs w:val="28"/>
          <w:lang w:val="en-US" w:eastAsia="en-US"/>
        </w:rPr>
        <w:tab/>
        <w:t>Trường hợp lấy lời khai người bị hại dưới 18 tuổi bị xâm hại tình dục, bị bạo hành hoặc bị mua bán thì phải ưu tiên địa điểm lấy lời khai tại nơi cư trú của người đó; nếu không có nơi cư trú thì phải tiến hành tại cơ sở chăm sóc trẻ em theo quy định của pháp luật.</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000000"/>
          <w:sz w:val="28"/>
          <w:szCs w:val="28"/>
          <w:lang w:val="en-US" w:eastAsia="en-US"/>
        </w:rPr>
        <w:t>   </w:t>
      </w:r>
      <w:r w:rsidRPr="008D090C">
        <w:rPr>
          <w:i/>
          <w:iCs/>
          <w:color w:val="000000"/>
          <w:sz w:val="28"/>
          <w:szCs w:val="28"/>
          <w:lang w:val="en-US" w:eastAsia="en-US"/>
        </w:rPr>
        <w:tab/>
        <w:t>2. Việc lấy lời khai, hỏi cung phải theo đúng trình tự, thủ tục, thời gian, bảo đảm sự tham gia của người đại diện, người bào chữa, người bảo vệ quyền và lợi ích hợp pháp của người dưới 18 tuổi theo quy định tại Điều 183, Điều 421, các điều luật khác có liên quan của Bộ luật Tố tụng hình sự và Thông tư liên tịch số 03/2018/TTLT- BCA-VKSNDTC-TANDTC-BQP ngày 01/01/2018 hướng dẫn về trình tự, thủ tục thực hiện ghi âm hoặc ghi hình có âm thanh; sử dụng, bảo quản, lưu trữ kết quả ghi âm hoặc ghi hình có âm thanh trong quá trình điều tra, truy tố, xét xử.</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000000"/>
          <w:sz w:val="28"/>
          <w:szCs w:val="28"/>
          <w:lang w:val="en-US" w:eastAsia="en-US"/>
        </w:rPr>
        <w:t xml:space="preserve">    </w:t>
      </w:r>
      <w:r w:rsidRPr="008D090C">
        <w:rPr>
          <w:i/>
          <w:iCs/>
          <w:color w:val="000000"/>
          <w:sz w:val="28"/>
          <w:szCs w:val="28"/>
          <w:lang w:val="en-US" w:eastAsia="en-US"/>
        </w:rPr>
        <w:tab/>
        <w:t>Trường hợp vụ án có người bị hại dưới 18 tuổi bị xâm hại tình dục, bị bạo hành hoặc bị mua bán thì việc lấy lời khai của họ phải được tiến hành ngay sau khi tiếp nhận nguồn tin về tội phạm.</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000000"/>
          <w:sz w:val="28"/>
          <w:szCs w:val="28"/>
          <w:lang w:val="en-US" w:eastAsia="en-US"/>
        </w:rPr>
        <w:t xml:space="preserve">    </w:t>
      </w:r>
      <w:r w:rsidRPr="008D090C">
        <w:rPr>
          <w:i/>
          <w:iCs/>
          <w:color w:val="000000"/>
          <w:sz w:val="28"/>
          <w:szCs w:val="28"/>
          <w:lang w:val="en-US" w:eastAsia="en-US"/>
        </w:rPr>
        <w:tab/>
        <w:t xml:space="preserve">3. Khi tiến hành lấy lời khai, hỏi cung, người có thẩm quyền tiến hành tố tụng phải có thái độ thân thiện, nhẹ nhàng, sử dụng ngôn ngữ dễ hiểu, phù hợp với độ tuổi, giới tính, khả năng nhận thức của họ; xem xét áp dụng các biện pháp phù hợp nhằm giảm đến mức thấp nhất thời gian, số lượng lần lấy lời khai, hỏi cung và </w:t>
      </w:r>
      <w:r w:rsidRPr="008D090C">
        <w:rPr>
          <w:i/>
          <w:iCs/>
          <w:color w:val="000000"/>
          <w:sz w:val="28"/>
          <w:szCs w:val="28"/>
          <w:lang w:val="en-US" w:eastAsia="en-US"/>
        </w:rPr>
        <w:lastRenderedPageBreak/>
        <w:t>phải tạm dừng ngay việc lấy lời khai, hỏi cung khi người dưới 18 tuổi có biểu hiện mệt mỏi, ảnh hưởng đến khả năng khai báo chính xác, đầy đủ.</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000000"/>
          <w:sz w:val="28"/>
          <w:szCs w:val="28"/>
          <w:lang w:val="en-US" w:eastAsia="en-US"/>
        </w:rPr>
        <w:t xml:space="preserve">    </w:t>
      </w:r>
      <w:r w:rsidRPr="008D090C">
        <w:rPr>
          <w:i/>
          <w:iCs/>
          <w:color w:val="000000"/>
          <w:sz w:val="28"/>
          <w:szCs w:val="28"/>
          <w:lang w:val="en-US" w:eastAsia="en-US"/>
        </w:rPr>
        <w:tab/>
        <w:t>4. Người đại diện, người bào chữa của người dưới 18 tuổi được tham gia hỏi người bị giữ trong trường hợp khẩn cấp, người bị bắt, người bị tạm giữ, bị can là người dưới 18 tuổi. Điều tra viên, Kiểm sát viên yêu cầu không được hỏi và phải dừng ngay việc hỏi trong trường hợp câu hỏi của người đại diện, người bào chữa có tính chất gợi ý, định hướng hoặc có tính chất khẳng định, phủ định liên quan đến vụ án. Trường hợp phát hiện người đại diện, người bào chữa có dấu hiệu thông cung, mớm cung phải lập tức yêu cầu họ dừng ngay việc hỏi và lập biên bản, báo cáo người có thẩm quyền xử lý theo quy định của pháp luật”.</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292E31"/>
          <w:sz w:val="28"/>
          <w:szCs w:val="28"/>
          <w:lang w:val="en-US" w:eastAsia="en-US"/>
        </w:rPr>
        <w:t>   </w:t>
      </w:r>
      <w:r w:rsidRPr="008D090C">
        <w:rPr>
          <w:i/>
          <w:iCs/>
          <w:color w:val="292E31"/>
          <w:sz w:val="28"/>
          <w:szCs w:val="28"/>
          <w:lang w:val="en-US" w:eastAsia="en-US"/>
        </w:rPr>
        <w:tab/>
      </w:r>
      <w:r w:rsidRPr="008D090C">
        <w:rPr>
          <w:b/>
          <w:i/>
          <w:iCs/>
          <w:color w:val="292E31"/>
          <w:sz w:val="28"/>
          <w:szCs w:val="28"/>
          <w:lang w:val="en-US" w:eastAsia="en-US"/>
        </w:rPr>
        <w:t>Thứ hai,</w:t>
      </w:r>
      <w:r w:rsidRPr="008D090C">
        <w:rPr>
          <w:b/>
          <w:color w:val="292E31"/>
          <w:sz w:val="28"/>
          <w:szCs w:val="28"/>
          <w:lang w:val="en-US" w:eastAsia="en-US"/>
        </w:rPr>
        <w:t> </w:t>
      </w:r>
      <w:r w:rsidRPr="008D090C">
        <w:rPr>
          <w:color w:val="292E31"/>
          <w:sz w:val="28"/>
          <w:szCs w:val="28"/>
          <w:lang w:val="en-US" w:eastAsia="en-US"/>
        </w:rPr>
        <w:t>Về quyền bào chữa và cơ chế bảo đảm quyền bào chữa của người dưới 18 tuổi (Điều 422 Bộ luật Tố tụng hình sự 2015). Theo đó, khẳng định rõ hơn quyền bào chữa của người dưới 18 tuổi: “Người bị buộc tội là người dưới 18 tuổi có quyền tự bào chữa hoặc nhờ người khác bào chữa”. Trường hợp người bị buộc tội là người dưới 18 tuổi không có người bào chữa hoặc người thân thích của họ không mời người bào chữa thì Cơ quan có thẩm quyền tiến hành tố tụng phải chỉ định người bào chữa cho họ.</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292E31"/>
          <w:sz w:val="28"/>
          <w:szCs w:val="28"/>
          <w:lang w:val="en-US" w:eastAsia="en-US"/>
        </w:rPr>
        <w:t xml:space="preserve">    </w:t>
      </w:r>
      <w:r w:rsidRPr="008D090C">
        <w:rPr>
          <w:color w:val="292E31"/>
          <w:sz w:val="28"/>
          <w:szCs w:val="28"/>
          <w:lang w:val="en-US" w:eastAsia="en-US"/>
        </w:rPr>
        <w:tab/>
        <w:t>Cơ quan tiến hành tố tụng phải yêu cầu Đoàn Luật sư phân công tổ chức luật sư; Trung tâm Trợ giúp pháp lý nhà nước cử Trợ giúp viên pháp lý, luật sư bào chữa cho người thuộc diện được trợ giúp pháp lý; yêu cầu Ủy ban Mặt trận Tổ quốc Việt Nam và các tổ chức thành viên của Mặt trận cử bào chữa viên nhân dân bào chữa cho người bị buộc tội là thành viên của tổ chức mình, theo quy định tại Điều 76 của Bộ luật tố tụng hình sự.</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i/>
          <w:iCs/>
          <w:color w:val="292E31"/>
          <w:sz w:val="28"/>
          <w:szCs w:val="28"/>
          <w:lang w:val="en-US" w:eastAsia="en-US"/>
        </w:rPr>
        <w:t xml:space="preserve">  </w:t>
      </w:r>
      <w:r w:rsidRPr="008D090C">
        <w:rPr>
          <w:i/>
          <w:iCs/>
          <w:color w:val="292E31"/>
          <w:sz w:val="28"/>
          <w:szCs w:val="28"/>
          <w:lang w:val="en-US" w:eastAsia="en-US"/>
        </w:rPr>
        <w:tab/>
        <w:t> </w:t>
      </w:r>
      <w:r w:rsidRPr="008D090C">
        <w:rPr>
          <w:b/>
          <w:i/>
          <w:iCs/>
          <w:color w:val="292E31"/>
          <w:sz w:val="28"/>
          <w:szCs w:val="28"/>
          <w:lang w:val="en-US" w:eastAsia="en-US"/>
        </w:rPr>
        <w:t>Thứ ba,</w:t>
      </w:r>
      <w:r w:rsidRPr="008D090C">
        <w:rPr>
          <w:b/>
          <w:bCs/>
          <w:color w:val="292E31"/>
          <w:sz w:val="28"/>
          <w:szCs w:val="28"/>
          <w:lang w:val="en-US" w:eastAsia="en-US"/>
        </w:rPr>
        <w:t> </w:t>
      </w:r>
      <w:r w:rsidRPr="008D090C">
        <w:rPr>
          <w:color w:val="292E31"/>
          <w:sz w:val="28"/>
          <w:szCs w:val="28"/>
          <w:lang w:val="en-US" w:eastAsia="en-US"/>
        </w:rPr>
        <w:t>Trong thủ tục xét xử, quy định cụ thể hóa, bảo đảm phù hợp với người dưới 18 tuổi, như: Thẩm phán, Thành phần Hội đồng xét xử sơ thẩm vụ án phải có một Hội thẩm là giáo viên hoặc cán bộ Đoàn thanh niên hoặc là người có kinh nghiệm, hiểu biết tâm lý người dưới 18 tuổi.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t xml:space="preserve">    </w:t>
      </w:r>
      <w:r w:rsidRPr="008D090C">
        <w:rPr>
          <w:color w:val="000000"/>
          <w:sz w:val="28"/>
          <w:szCs w:val="28"/>
          <w:lang w:val="en-US" w:eastAsia="en-US"/>
        </w:rPr>
        <w:tab/>
        <w:t>Thẩm phán khi được phân công tiến hành tố tụng đối với vụ án có người tham gia tố tụng là người dưới 18 tuổi phải có ít nhất một trong các điều kiện sau đây:</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t>     </w:t>
      </w:r>
      <w:r w:rsidRPr="008D090C">
        <w:rPr>
          <w:color w:val="000000"/>
          <w:sz w:val="28"/>
          <w:szCs w:val="28"/>
          <w:lang w:val="en-US" w:eastAsia="en-US"/>
        </w:rPr>
        <w:tab/>
        <w:t>Có kinh nghiệm  xét xử các vụ án liên quan đến người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t>     </w:t>
      </w:r>
      <w:r w:rsidRPr="008D090C">
        <w:rPr>
          <w:color w:val="000000"/>
          <w:sz w:val="28"/>
          <w:szCs w:val="28"/>
          <w:lang w:val="en-US" w:eastAsia="en-US"/>
        </w:rPr>
        <w:tab/>
        <w:t>Đã được đào tạo, tập huấn, bồi dưỡng về kỹ năng giải quyết các vụ án hình sự có người tham gia tố tụng là người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t>     </w:t>
      </w:r>
      <w:r w:rsidRPr="008D090C">
        <w:rPr>
          <w:color w:val="000000"/>
          <w:sz w:val="28"/>
          <w:szCs w:val="28"/>
          <w:lang w:val="en-US" w:eastAsia="en-US"/>
        </w:rPr>
        <w:tab/>
        <w:t>Đã được đào tạo, tập huấn, bồi dưỡng về tâm lý học, khoa học giáo dục đối với người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lastRenderedPageBreak/>
        <w:t xml:space="preserve">    </w:t>
      </w:r>
      <w:r w:rsidRPr="008D090C">
        <w:rPr>
          <w:color w:val="000000"/>
          <w:sz w:val="28"/>
          <w:szCs w:val="28"/>
          <w:lang w:val="en-US" w:eastAsia="en-US"/>
        </w:rPr>
        <w:tab/>
        <w:t>Hội thẩm tham gia Hội đồng xét xử sơ thẩm vụ án có người tham gia tố tụng là người dưới 18 tuổi phải có người là giáo viên, cán bộ Đoàn thanh niên Cộng sản Hồ Chí Minh hoặc người có kinh nghiệm, hiểu biết tâm lý người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000000"/>
          <w:sz w:val="28"/>
          <w:szCs w:val="28"/>
          <w:lang w:val="en-US" w:eastAsia="en-US"/>
        </w:rPr>
        <w:t>   </w:t>
      </w:r>
      <w:r w:rsidRPr="008D090C">
        <w:rPr>
          <w:color w:val="000000"/>
          <w:sz w:val="28"/>
          <w:szCs w:val="28"/>
          <w:lang w:val="en-US" w:eastAsia="en-US"/>
        </w:rPr>
        <w:tab/>
        <w:t>Người có kinh nghiệm, hiểu biết tâm lý người dưới 18 tuổi là người có thâm niên công tác trong lĩnh vực tư pháp, quản lý, đào tạo, bảo vệ, chăm sóc và giáo dục người dưới 18 tuổi; người được đào tạo về giáo dục thanh, thiếu niên, nhi đồng hoặc những người khác có kinh nghiệm, hiểu biết tâm lý người dưới 18 tuổi.</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292E31"/>
          <w:sz w:val="28"/>
          <w:szCs w:val="28"/>
          <w:lang w:val="en-US" w:eastAsia="en-US"/>
        </w:rPr>
        <w:t xml:space="preserve">    </w:t>
      </w:r>
      <w:r w:rsidRPr="008D090C">
        <w:rPr>
          <w:color w:val="292E31"/>
          <w:sz w:val="28"/>
          <w:szCs w:val="28"/>
          <w:lang w:val="en-US" w:eastAsia="en-US"/>
        </w:rPr>
        <w:tab/>
        <w:t>Quy định cụ thể trường hợp đặc biệt cần bảo vệ bị cáo, bị hại là người dưới 18 tuổi thì Tòa án có thể quyết định xét xử kín; bổ sung những người bắt buộc phải có mặt tham gia phiên tòa để trợ giúp tốt nhất cho bị cáo là người dưới 18 tuổi, bao gồm: người đại diện của bị cáo, đại diện của nhà trường, tổ chức nơi bị cáo học tập, sinh hoạt, trừ trường hợp những người này vắng mặt mà không vì lý do bất khả kháng hoặc không do trở ngại khách quan.</w:t>
      </w:r>
    </w:p>
    <w:p w:rsidR="004B4C3C" w:rsidRPr="008D090C" w:rsidRDefault="004B4C3C" w:rsidP="004B4C3C">
      <w:pPr>
        <w:shd w:val="clear" w:color="auto" w:fill="FFFFFF"/>
        <w:spacing w:after="120" w:line="276" w:lineRule="auto"/>
        <w:jc w:val="both"/>
        <w:rPr>
          <w:color w:val="292E31"/>
          <w:sz w:val="28"/>
          <w:szCs w:val="28"/>
          <w:lang w:val="en-US" w:eastAsia="en-US"/>
        </w:rPr>
      </w:pPr>
      <w:r w:rsidRPr="008D090C">
        <w:rPr>
          <w:color w:val="292E31"/>
          <w:sz w:val="28"/>
          <w:szCs w:val="28"/>
          <w:lang w:val="en-US" w:eastAsia="en-US"/>
        </w:rPr>
        <w:t>     </w:t>
      </w:r>
      <w:r w:rsidRPr="008D090C">
        <w:rPr>
          <w:color w:val="292E31"/>
          <w:sz w:val="28"/>
          <w:szCs w:val="28"/>
          <w:lang w:val="en-US" w:eastAsia="en-US"/>
        </w:rPr>
        <w:tab/>
      </w:r>
      <w:r w:rsidRPr="008D090C">
        <w:rPr>
          <w:b/>
          <w:i/>
          <w:iCs/>
          <w:color w:val="292E31"/>
          <w:sz w:val="28"/>
          <w:szCs w:val="28"/>
          <w:lang w:val="en-US" w:eastAsia="en-US"/>
        </w:rPr>
        <w:t>Thứ tư</w:t>
      </w:r>
      <w:r w:rsidRPr="008D090C">
        <w:rPr>
          <w:i/>
          <w:iCs/>
          <w:color w:val="292E31"/>
          <w:sz w:val="28"/>
          <w:szCs w:val="28"/>
          <w:lang w:val="en-US" w:eastAsia="en-US"/>
        </w:rPr>
        <w:t>,</w:t>
      </w:r>
      <w:r w:rsidRPr="008D090C">
        <w:rPr>
          <w:color w:val="292E31"/>
          <w:sz w:val="28"/>
          <w:szCs w:val="28"/>
          <w:lang w:val="en-US" w:eastAsia="en-US"/>
        </w:rPr>
        <w:t> Việc xét hỏi, tranh luận với bị cáo, bị hại, người làm chứng là người dưới 18 tuổi tại phiên tòa phải được tiến hành phù hợp với lứa tuổi, mức độ phát triển của họ; phòng xử án được bố trí thân thiện, phù hợp với người dưới 18 tuổi, bảo đảm đáp ứng các yêu cầu chuẩn mực quốc tế đặt ra. Đối với vụ án có bị hại, người làm chứng là người dưới 18 tuổi, Hội đồng xét xử phải hạn chế việc tiếp xúc giữa bị hại, người làm chứng với bị cáo khi bị hại, người làm chứng trình bày lời khai tại phiên tòa. Thẩm phán chủ tọa phiên tòa có thể yêu cầu người đại diện, người bảo vệ quyền và lợi ích hợp pháp hỏi bị hại, người làm chứng./.</w:t>
      </w:r>
    </w:p>
    <w:p w:rsidR="00815F91" w:rsidRDefault="00815F91"/>
    <w:sectPr w:rsidR="00815F91" w:rsidSect="004B4C3C">
      <w:head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A83" w:rsidRDefault="00312A83" w:rsidP="004B4C3C">
      <w:r>
        <w:separator/>
      </w:r>
    </w:p>
  </w:endnote>
  <w:endnote w:type="continuationSeparator" w:id="1">
    <w:p w:rsidR="00312A83" w:rsidRDefault="00312A83" w:rsidP="004B4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A83" w:rsidRDefault="00312A83" w:rsidP="004B4C3C">
      <w:r>
        <w:separator/>
      </w:r>
    </w:p>
  </w:footnote>
  <w:footnote w:type="continuationSeparator" w:id="1">
    <w:p w:rsidR="00312A83" w:rsidRDefault="00312A83" w:rsidP="004B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8532"/>
      <w:docPartObj>
        <w:docPartGallery w:val="Page Numbers (Top of Page)"/>
        <w:docPartUnique/>
      </w:docPartObj>
    </w:sdtPr>
    <w:sdtContent>
      <w:p w:rsidR="004B4C3C" w:rsidRDefault="004B4C3C">
        <w:pPr>
          <w:pStyle w:val="Header"/>
          <w:jc w:val="center"/>
        </w:pPr>
        <w:fldSimple w:instr=" PAGE   \* MERGEFORMAT ">
          <w:r>
            <w:rPr>
              <w:noProof/>
            </w:rPr>
            <w:t>1</w:t>
          </w:r>
        </w:fldSimple>
      </w:p>
    </w:sdtContent>
  </w:sdt>
  <w:p w:rsidR="004B4C3C" w:rsidRDefault="004B4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C3C"/>
    <w:rsid w:val="00312A83"/>
    <w:rsid w:val="004B4C3C"/>
    <w:rsid w:val="0081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3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link w:val="Heading2Char"/>
    <w:qFormat/>
    <w:rsid w:val="004B4C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C3C"/>
    <w:rPr>
      <w:rFonts w:ascii="Times New Roman" w:eastAsia="Times New Roman" w:hAnsi="Times New Roman" w:cs="Times New Roman"/>
      <w:b/>
      <w:bCs/>
      <w:sz w:val="36"/>
      <w:szCs w:val="36"/>
      <w:lang w:val="vi-VN" w:eastAsia="vi-VN"/>
    </w:rPr>
  </w:style>
  <w:style w:type="paragraph" w:customStyle="1" w:styleId="rtejustify">
    <w:name w:val="rtejustify"/>
    <w:basedOn w:val="Normal"/>
    <w:rsid w:val="004B4C3C"/>
    <w:pPr>
      <w:spacing w:before="100" w:beforeAutospacing="1" w:after="100" w:afterAutospacing="1"/>
    </w:pPr>
  </w:style>
  <w:style w:type="character" w:styleId="Strong">
    <w:name w:val="Strong"/>
    <w:qFormat/>
    <w:rsid w:val="004B4C3C"/>
    <w:rPr>
      <w:b/>
      <w:bCs/>
    </w:rPr>
  </w:style>
  <w:style w:type="character" w:customStyle="1" w:styleId="apple-converted-space">
    <w:name w:val="apple-converted-space"/>
    <w:basedOn w:val="DefaultParagraphFont"/>
    <w:rsid w:val="004B4C3C"/>
  </w:style>
  <w:style w:type="paragraph" w:styleId="NormalWeb">
    <w:name w:val="Normal (Web)"/>
    <w:basedOn w:val="Normal"/>
    <w:rsid w:val="004B4C3C"/>
    <w:pPr>
      <w:spacing w:before="100" w:beforeAutospacing="1" w:after="100" w:afterAutospacing="1"/>
    </w:pPr>
  </w:style>
  <w:style w:type="paragraph" w:styleId="Header">
    <w:name w:val="header"/>
    <w:basedOn w:val="Normal"/>
    <w:link w:val="HeaderChar"/>
    <w:uiPriority w:val="99"/>
    <w:unhideWhenUsed/>
    <w:rsid w:val="004B4C3C"/>
    <w:pPr>
      <w:tabs>
        <w:tab w:val="center" w:pos="4680"/>
        <w:tab w:val="right" w:pos="9360"/>
      </w:tabs>
    </w:pPr>
  </w:style>
  <w:style w:type="character" w:customStyle="1" w:styleId="HeaderChar">
    <w:name w:val="Header Char"/>
    <w:basedOn w:val="DefaultParagraphFont"/>
    <w:link w:val="Header"/>
    <w:uiPriority w:val="99"/>
    <w:rsid w:val="004B4C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semiHidden/>
    <w:unhideWhenUsed/>
    <w:rsid w:val="004B4C3C"/>
    <w:pPr>
      <w:tabs>
        <w:tab w:val="center" w:pos="4680"/>
        <w:tab w:val="right" w:pos="9360"/>
      </w:tabs>
    </w:pPr>
  </w:style>
  <w:style w:type="character" w:customStyle="1" w:styleId="FooterChar">
    <w:name w:val="Footer Char"/>
    <w:basedOn w:val="DefaultParagraphFont"/>
    <w:link w:val="Footer"/>
    <w:uiPriority w:val="99"/>
    <w:semiHidden/>
    <w:rsid w:val="004B4C3C"/>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3099</Words>
  <Characters>17667</Characters>
  <Application>Microsoft Office Word</Application>
  <DocSecurity>0</DocSecurity>
  <Lines>147</Lines>
  <Paragraphs>41</Paragraphs>
  <ScaleCrop>false</ScaleCrop>
  <Company>KTV-Computer</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2024-04-02T08:51:00Z</dcterms:created>
  <dcterms:modified xsi:type="dcterms:W3CDTF">2024-04-02T08:53:00Z</dcterms:modified>
</cp:coreProperties>
</file>